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svg" ContentType="image/svg+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body>
    <w:p>
      <w:pPr>
        <w:spacing/>
        <w:jc w:val="center"/>
        <w:rPr>
          <w:sz w:val="32"/>
          <w:szCs w:val="32"/>
        </w:rPr>
      </w:pPr>
      <w:r/>
      <w:r>
        <w:rPr>
          <w:noProof/>
        </w:rPr>
        <w:drawing>
          <wp:inline distT="0" distB="0" distL="0" distR="0">
            <wp:extent cx="3057525" cy="1529080"/>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
                    <pic:cNvPicPr>
                      <a:picLocks noChangeAspect="1"/>
                      <a:extLst>
                        <a:ext uri="smNativeData">
                          <sm:smNativeData xmlns:sm="smNativeData" val="SMDATA_16_xV+ZZh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yAAAAAAAAAAAAAAAAAAAAAAAAAAAAAAAAAAAAAAAAAAAAAAzxIAAGgJAAAAAAAAAAAAAAAAAAAoAAAACAAAAAEAAAABAAAA"/>
                        </a:ext>
                      </a:extLst>
                    </pic:cNvPicPr>
                  </pic:nvPicPr>
                  <pic:blipFill>
                    <a:blip r:embed="rId8"/>
                    <a:stretch>
                      <a:fillRect/>
                    </a:stretch>
                  </pic:blipFill>
                  <pic:spPr>
                    <a:xfrm>
                      <a:off x="0" y="0"/>
                      <a:ext cx="3057525" cy="1529080"/>
                    </a:xfrm>
                    <a:prstGeom prst="rect">
                      <a:avLst/>
                    </a:prstGeom>
                    <a:noFill/>
                    <a:ln w="12700">
                      <a:noFill/>
                    </a:ln>
                  </pic:spPr>
                </pic:pic>
              </a:graphicData>
            </a:graphic>
          </wp:inline>
        </w:drawing>
      </w:r>
      <w:r/>
      <w:r>
        <w:rPr>
          <w:sz w:val="32"/>
          <w:szCs w:val="32"/>
        </w:rPr>
      </w:r>
    </w:p>
    <w:p>
      <w:pPr>
        <w:spacing/>
        <w:jc w:val="center"/>
        <w:rPr>
          <w:b/>
          <w:bCs/>
          <w:sz w:val="32"/>
          <w:szCs w:val="32"/>
        </w:rPr>
      </w:pPr>
      <w:r>
        <w:rPr>
          <w:b/>
          <w:bCs/>
          <w:sz w:val="32"/>
          <w:szCs w:val="32"/>
        </w:rPr>
        <w:t>August 18, 2023</w:t>
      </w:r>
    </w:p>
    <w:p>
      <w:pPr>
        <w:spacing/>
        <w:jc w:val="center"/>
        <w:rPr>
          <w:b/>
          <w:bCs/>
          <w:sz w:val="32"/>
          <w:szCs w:val="32"/>
        </w:rPr>
      </w:pPr>
      <w:r>
        <w:rPr>
          <w:b/>
          <w:bCs/>
          <w:sz w:val="32"/>
          <w:szCs w:val="32"/>
        </w:rPr>
      </w:r>
    </w:p>
    <w:p>
      <w:pPr>
        <w:spacing w:after="0" w:line="240" w:lineRule="auto"/>
        <w:widowControl w:val="0"/>
        <w:rPr>
          <w:rFonts w:ascii="Times New Roman" w:hAnsi="Times New Roman" w:eastAsia="Times New Roman"/>
          <w:b/>
          <w:bCs/>
          <w:kern w:val="1"/>
          <w:sz w:val="28"/>
          <w:szCs w:val="28"/>
        </w:rPr>
      </w:pPr>
      <w:r>
        <w:rPr>
          <w:rFonts w:ascii="Times New Roman" w:hAnsi="Times New Roman" w:eastAsia="Times New Roman"/>
          <w:b/>
          <w:bCs/>
          <w:kern w:val="1"/>
          <w:sz w:val="28"/>
          <w:szCs w:val="28"/>
        </w:rPr>
        <w:t>From: League of Women Voters, 2023 NC Legislative Landscape, 8/9/23</w:t>
      </w:r>
    </w:p>
    <w:p>
      <w:pPr>
        <w:spacing w:after="0" w:line="240" w:lineRule="auto"/>
        <w:widowControl w:val="0"/>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t>Current bills in the General Assembly show a weakening commitment to traditional public schools, despite 1.4 million (77%) children in our state attending these schools.   Here is an evaluation of how the current legislation compares to key LWVNC positions.  </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i/>
          <w:kern w:val="1"/>
        </w:rPr>
      </w:pPr>
      <w:r>
        <w:rPr>
          <w:rFonts w:ascii="Times New Roman" w:hAnsi="Times New Roman" w:eastAsia="Times New Roman"/>
          <w:b/>
          <w:i/>
          <w:kern w:val="1"/>
        </w:rPr>
        <w:t>Position: Allocation of reliable, sufficient, and equitable legislative funding</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b/>
          <w:i/>
          <w:kern w:val="1"/>
        </w:rPr>
        <w:t>Including full funding of the Leandro Comprehensive Remedial Plan</w:t>
      </w:r>
      <w:r>
        <w:rPr>
          <w:rFonts w:ascii="Times New Roman" w:hAnsi="Times New Roman" w:eastAsia="Times New Roman"/>
          <w:kern w:val="1"/>
        </w:rPr>
        <w:t> </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t>– The State budget, which provides 63% of school funding, has not been ratified – even though school districts must make decisions on staffing, curriculum support, etc. as they start the school year. It is now expected to be delayed until September.  </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t> – Negotiations are underway at the legislature. Overall funding is not expected to keep up with the critical shortage of teachers, staff, and school counselors. The Senate proposal has a decrease of 2.2% in overall K-12 education funding, and the House proposal has a very small increase of 0.7%, compared to Governor Roy Cooper’s proposal of 12.1%. Teachers will most likely receive a pay increase between 5.3% (House) and 2.3% (Senate). </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i/>
          <w:kern w:val="1"/>
        </w:rPr>
      </w:pPr>
      <w:r>
        <w:rPr>
          <w:rFonts w:ascii="Times New Roman" w:hAnsi="Times New Roman" w:eastAsia="Times New Roman"/>
          <w:b/>
          <w:i/>
          <w:kern w:val="1"/>
        </w:rPr>
        <w:t>Position: Accountability and transparency for all schools receiving taxpayer monies (public, charter, private schools)</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i/>
          <w:kern w:val="1"/>
        </w:rPr>
      </w:pPr>
      <w:r>
        <w:rPr>
          <w:rFonts w:ascii="Times New Roman" w:hAnsi="Times New Roman" w:eastAsia="Times New Roman"/>
          <w:b/>
          <w:i/>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i/>
          <w:kern w:val="1"/>
        </w:rPr>
      </w:pPr>
      <w:r>
        <w:rPr>
          <w:rFonts w:ascii="Times New Roman" w:hAnsi="Times New Roman" w:eastAsia="Times New Roman"/>
          <w:b/>
          <w:i/>
          <w:kern w:val="1"/>
        </w:rPr>
        <w:t>HB 823/SB406: Choose Your School, Choose Your Future</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color w:val="0000ff"/>
          <w:kern w:val="1"/>
          <w:u w:color="auto" w:val="single"/>
        </w:rPr>
      </w:pPr>
      <w:r>
        <w:rPr>
          <w:rFonts w:ascii="Times New Roman" w:hAnsi="Times New Roman" w:eastAsia="Times New Roman"/>
          <w:b/>
          <w:color w:val="0000ff"/>
          <w:kern w:val="1"/>
          <w:u w:color="auto" w:val="single"/>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Style w:val="char1"/>
          <w:rFonts w:ascii="Times New Roman" w:hAnsi="Times New Roman" w:eastAsia="Times New Roman"/>
          <w:color w:val="auto"/>
          <w:kern w:val="1"/>
          <w:u w:color="auto" w:val="none"/>
        </w:rPr>
        <w:t>– Status: In Senate Rules and expected to be included in the final state budget. </w:t>
        <w:br w:type="textWrapping"/>
        <w:t>– This bill would make all NC K-12 students eligible for vouchers, with grant amounts based on household income, beginning in 2023-2024. It gets rid of the requirement that a student must be from a low-income household.</w:t>
        <w:br w:type="textWrapping"/>
        <w:t>– Does not provide any accountability measures for private schools.</w:t>
        <w:br w:type="textWrapping"/>
        <w:t>– Would divert millions of dollars to private schools, with no accountability to the State Board of Education.</w:t>
        <w:br w:type="textWrapping"/>
      </w: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i/>
          <w:kern w:val="1"/>
        </w:rPr>
      </w:pPr>
      <w:r>
        <w:rPr>
          <w:rStyle w:val="char1"/>
          <w:rFonts w:ascii="Times New Roman" w:hAnsi="Times New Roman" w:eastAsia="Times New Roman"/>
          <w:b/>
          <w:i/>
          <w:color w:val="auto"/>
          <w:kern w:val="1"/>
          <w:u w:color="auto" w:val="none"/>
        </w:rPr>
        <w:t>Position: Policies &amp; working conditions that encourage student growth, educator enhancement, and administrative effectiveness</w:t>
      </w:r>
      <w:r>
        <w:rPr>
          <w:rFonts w:ascii="Times New Roman" w:hAnsi="Times New Roman" w:eastAsia="Times New Roman"/>
          <w:b/>
          <w:i/>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kern w:val="1"/>
        </w:rPr>
      </w:pPr>
      <w:r>
        <w:rPr>
          <w:rStyle w:val="char1"/>
          <w:rFonts w:ascii="Times New Roman" w:hAnsi="Times New Roman" w:eastAsia="Times New Roman"/>
          <w:b/>
          <w:bCs/>
          <w:color w:val="auto"/>
          <w:kern w:val="1"/>
          <w:u w:color="auto" w:val="none"/>
        </w:rPr>
        <w:t>HB 219 Charter School Omnibus</w:t>
      </w:r>
      <w:r>
        <w:rPr>
          <w:rFonts w:ascii="Times New Roman" w:hAnsi="Times New Roman" w:eastAsia="Times New Roman"/>
          <w:b/>
          <w:bCs/>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color w:val="0000ff"/>
          <w:kern w:val="1"/>
          <w:u w:color="auto" w:val="single"/>
        </w:rPr>
      </w:pPr>
      <w:r>
        <w:rPr>
          <w:rFonts w:ascii="Times New Roman" w:hAnsi="Times New Roman" w:eastAsia="Times New Roman"/>
          <w:b/>
          <w:color w:val="0000ff"/>
          <w:kern w:val="1"/>
          <w:u w:color="auto" w:val="single"/>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Style w:val="char1"/>
          <w:rFonts w:ascii="Times New Roman" w:hAnsi="Times New Roman" w:eastAsia="Times New Roman"/>
          <w:color w:val="auto"/>
          <w:kern w:val="1"/>
          <w:u w:color="auto" w:val="none"/>
        </w:rPr>
        <w:t>– Status: Vetoed by Governor Cooper but most likely the veto will be overridden. </w:t>
        <w:br w:type="textWrapping"/>
        <w:t>– Allows charter schools to continue to expand, even with low-performance.</w:t>
        <w:br w:type="textWrapping"/>
        <w:t>– Allows counties to appropriate property taxes to fund charter school capital needs.</w:t>
      </w: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kern w:val="1"/>
        </w:rPr>
      </w:pPr>
      <w:r>
        <w:rPr>
          <w:rStyle w:val="char1"/>
          <w:rFonts w:ascii="Times New Roman" w:hAnsi="Times New Roman" w:eastAsia="Times New Roman"/>
          <w:b/>
          <w:bCs/>
          <w:color w:val="auto"/>
          <w:kern w:val="1"/>
          <w:u w:color="auto" w:val="none"/>
        </w:rPr>
        <w:t>SB 49 Parents Bill of Rights</w:t>
      </w:r>
      <w:r>
        <w:rPr>
          <w:rFonts w:ascii="Times New Roman" w:hAnsi="Times New Roman" w:eastAsia="Times New Roman"/>
          <w:b/>
          <w:bCs/>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rPr>
      </w:pPr>
      <w:r>
        <w:rPr>
          <w:rStyle w:val="char1"/>
          <w:rFonts w:ascii="Times New Roman" w:hAnsi="Times New Roman" w:eastAsia="Times New Roman"/>
          <w:color w:val="auto"/>
          <w:kern w:val="1"/>
          <w:u w:color="auto" w:val="none"/>
        </w:rPr>
        <w:br w:type="textWrapping"/>
        <w:t>– Includes provisions that ban discussions on sexuality and gender identity in K-4th Grade in NC schools. Lack of education about reproductive health and sexuality raises concerns, especially for students who begin puberty at an early age.</w:t>
        <w:br w:type="textWrapping"/>
        <w:t>– Requires school staff to tell parents if students change their name or pronoun and share mental health information. There is concern that it will put LGBTQ students at risk.</w:t>
        <w:br w:type="textWrapping"/>
      </w:r>
      <w:r>
        <w:rPr>
          <w:rFonts w:ascii="Times New Roman" w:hAnsi="Times New Roman" w:eastAsia="Times New Roman"/>
          <w:kern w:val="1"/>
        </w:rPr>
      </w:r>
    </w:p>
    <w:p>
      <w:pPr>
        <w:spacing w:after="0" w:line="240" w:lineRule="auto"/>
        <w:widowControl w:val="0"/>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rPr>
          <w:rFonts w:ascii="Times New Roman" w:hAnsi="Times New Roman" w:eastAsia="Times New Roman"/>
          <w:b/>
          <w:bCs/>
          <w:kern w:val="1"/>
          <w:sz w:val="28"/>
          <w:szCs w:val="28"/>
        </w:rPr>
      </w:pPr>
      <w:r>
        <w:rPr>
          <w:rFonts w:ascii="Times New Roman" w:hAnsi="Times New Roman" w:eastAsia="Times New Roman"/>
          <w:b/>
          <w:bCs/>
          <w:kern w:val="1"/>
          <w:sz w:val="28"/>
          <w:szCs w:val="28"/>
        </w:rPr>
        <w:t>From NCNewsline August 3</w:t>
      </w:r>
    </w:p>
    <w:p>
      <w:pPr>
        <w:spacing w:after="0" w:line="240" w:lineRule="auto"/>
        <w:widowControl w:val="0"/>
        <w:rPr>
          <w:rFonts w:ascii="Times New Roman" w:hAnsi="Times New Roman" w:eastAsia="Times New Roman"/>
          <w:kern w:val="1"/>
        </w:rPr>
      </w:pPr>
      <w:r>
        <w:rPr>
          <w:rFonts w:ascii="Times New Roman" w:hAnsi="Times New Roman" w:eastAsia="Times New Roman"/>
          <w:kern w:val="1"/>
        </w:rPr>
      </w:r>
    </w:p>
    <w:p>
      <w:pPr>
        <w:spacing w:after="0" w:line="240" w:lineRule="auto"/>
        <w:widowControl w:val="0"/>
        <w:rPr>
          <w:rFonts w:ascii="Times New Roman" w:hAnsi="Times New Roman" w:eastAsia="Times New Roman"/>
          <w:kern w:val="1"/>
        </w:rPr>
      </w:pPr>
      <w:r>
        <w:rPr>
          <w:rFonts w:ascii="Times New Roman" w:hAnsi="Times New Roman" w:eastAsia="Times New Roman"/>
          <w:kern w:val="1"/>
        </w:rPr>
        <w:t>As the school year starts, districts prepare for onslaught of book challenges by conservatives</w:t>
      </w:r>
    </w:p>
    <w:p>
      <w:pPr>
        <w:pStyle w:val="para2"/>
        <w:spacing w:before="0" w:after="120" w:line="680" w:lineRule="atLeast"/>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s="Times New Roman"/>
          <w:b w:val="0"/>
          <w:sz w:val="22"/>
          <w:szCs w:val="22"/>
        </w:rPr>
      </w:pPr>
      <w:r>
        <w:rPr>
          <w:rFonts w:ascii="Times New Roman" w:hAnsi="Times New Roman" w:eastAsia="Times New Roman" w:cs="Times New Roman"/>
          <w:b w:val="0"/>
          <w:sz w:val="22"/>
          <w:szCs w:val="22"/>
        </w:rPr>
        <w:t>Authors of color are targeted, as well as books about the LGBT community</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rPr>
      </w:pPr>
      <w:r>
        <w:rPr>
          <w:rFonts w:ascii="Times New Roman" w:hAnsi="Times New Roman" w:eastAsia="Times New Roman"/>
          <w:color w:val="000000"/>
          <w:kern w:val="1"/>
        </w:rPr>
        <w:t>Book bans have been a major topic of discussion at school boards across the state this year. WUNC radio reported in March that there have been 189 book challenges across North Carolina’s 115 school districts since 2021.</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rPr>
      </w:pPr>
      <w:r>
        <w:rPr>
          <w:rFonts w:ascii="Times New Roman" w:hAnsi="Times New Roman" w:eastAsia="Times New Roman"/>
          <w:color w:val="000000"/>
          <w:kern w:val="1"/>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rPr>
      </w:pPr>
      <w:r>
        <w:rPr>
          <w:rFonts w:ascii="Times New Roman" w:hAnsi="Times New Roman" w:eastAsia="Times New Roman"/>
          <w:color w:val="000000"/>
          <w:kern w:val="1"/>
        </w:rPr>
      </w:r>
    </w:p>
    <w:p>
      <w:pPr>
        <w:spacing w:after="332"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kern w:val="1"/>
          <w:sz w:val="28"/>
          <w:szCs w:val="28"/>
        </w:rPr>
      </w:pPr>
      <w:r>
        <w:rPr>
          <w:rFonts w:ascii="Times New Roman" w:hAnsi="Times New Roman" w:eastAsia="Times New Roman"/>
          <w:b/>
          <w:bCs/>
          <w:kern w:val="1"/>
          <w:sz w:val="28"/>
          <w:szCs w:val="28"/>
        </w:rPr>
        <w:t>From Gov. Roy Cooper</w:t>
      </w:r>
    </w:p>
    <w:p>
      <w:pPr>
        <w:spacing w:after="332"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kern w:val="1"/>
          <w:u w:color="auto" w:val="single"/>
        </w:rPr>
      </w:pPr>
      <w:r>
        <w:rPr>
          <w:rFonts w:ascii="Times New Roman" w:hAnsi="Times New Roman" w:eastAsia="Times New Roman"/>
          <w:b/>
          <w:bCs/>
          <w:kern w:val="1"/>
        </w:rPr>
        <w:t xml:space="preserve">Public Education Crisis: </w:t>
      </w:r>
      <w:r>
        <w:rPr>
          <w:rFonts w:ascii="Times New Roman" w:hAnsi="Times New Roman" w:eastAsia="Times New Roman"/>
          <w:b/>
          <w:bCs/>
          <w:kern w:val="1"/>
          <w:u w:color="auto" w:val="single"/>
        </w:rPr>
        <w:t>North Carolina’s Public Education Emergency</w:t>
      </w:r>
      <w:r>
        <w:rPr>
          <w:rFonts w:ascii="Times New Roman" w:hAnsi="Times New Roman" w:eastAsia="Times New Roman"/>
          <w:b/>
          <w:bCs/>
          <w:kern w:val="1"/>
          <w:u w:color="auto" w:val="single"/>
        </w:rPr>
      </w:r>
    </w:p>
    <w:p>
      <w:pPr>
        <w:spacing w:after="332"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color w:val="333333"/>
          <w:kern w:val="1"/>
        </w:rPr>
      </w:pPr>
      <w:r>
        <w:rPr>
          <w:rFonts w:ascii="Times New Roman" w:hAnsi="Times New Roman" w:eastAsia="Times New Roman"/>
          <w:bCs/>
          <w:color w:val="333333"/>
          <w:kern w:val="1"/>
        </w:rPr>
        <w:t>Governor Cooper is calling on you to contact your state legislators and ask them to protect our public schools in three ways:</w:t>
      </w:r>
      <w:r>
        <w:rPr>
          <w:rFonts w:ascii="Times New Roman" w:hAnsi="Times New Roman" w:eastAsia="Times New Roman"/>
          <w:b/>
          <w:bCs/>
          <w:color w:val="333333"/>
          <w:kern w:val="1"/>
        </w:rPr>
        <w:t>1.  Invest in teachers and early childhood education, not tax cuts for the wealthy</w:t>
      </w:r>
    </w:p>
    <w:p>
      <w:pPr>
        <w:spacing w:after="45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color w:val="333333"/>
          <w:kern w:val="1"/>
        </w:rPr>
      </w:pPr>
      <w:r>
        <w:rPr>
          <w:rFonts w:ascii="Times New Roman" w:hAnsi="Times New Roman" w:eastAsia="Times New Roman"/>
          <w:b/>
          <w:bCs/>
          <w:color w:val="333333"/>
          <w:kern w:val="1"/>
        </w:rPr>
        <w:t>2.  Use public money for public schools, not private academies</w:t>
      </w:r>
    </w:p>
    <w:p>
      <w:pPr>
        <w:spacing w:after="45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color w:val="333333"/>
          <w:kern w:val="1"/>
        </w:rPr>
      </w:pPr>
      <w:r>
        <w:rPr>
          <w:rFonts w:ascii="Times New Roman" w:hAnsi="Times New Roman" w:eastAsia="Times New Roman"/>
          <w:b/>
          <w:color w:val="333333"/>
          <w:kern w:val="1"/>
        </w:rPr>
        <w:t>3.  Keep politicians out of the classroom, textbooks and lesson plans</w:t>
      </w:r>
    </w:p>
    <w:p>
      <w:pPr>
        <w:spacing w:after="45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color w:val="333333"/>
          <w:kern w:val="1"/>
        </w:rPr>
      </w:pPr>
      <w:r>
        <w:rPr>
          <w:rFonts w:ascii="Times New Roman" w:hAnsi="Times New Roman" w:eastAsia="Times New Roman"/>
          <w:b/>
          <w:color w:val="333333"/>
          <w:kern w:val="1"/>
        </w:rPr>
        <w:t>What to do? Contact your usual, and your local, suspects:</w:t>
      </w:r>
    </w:p>
    <w:p>
      <w:pPr>
        <w:spacing w:after="45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333333"/>
          <w:kern w:val="1"/>
        </w:rPr>
      </w:pPr>
      <w:r>
        <w:rPr>
          <w:rFonts w:ascii="Times New Roman" w:hAnsi="Times New Roman" w:eastAsia="Times New Roman"/>
          <w:color w:val="333333"/>
          <w:kern w:val="1"/>
        </w:rPr>
        <w:t>Henderson County Board of Public Education: Blair Craven, Jay Egolf, Robert Bridges, Stacey Caskey, Shelia Dale, Alyssa Norman, Kathy Revis; all reachable at  HCBPE, 414 4</w:t>
      </w:r>
      <w:r>
        <w:rPr>
          <w:rFonts w:ascii="Times New Roman" w:hAnsi="Times New Roman" w:eastAsia="Times New Roman"/>
          <w:color w:val="333333"/>
          <w:kern w:val="1"/>
          <w:vertAlign w:val="superscript"/>
        </w:rPr>
        <w:t>th</w:t>
      </w:r>
      <w:r>
        <w:rPr>
          <w:rFonts w:ascii="Times New Roman" w:hAnsi="Times New Roman" w:eastAsia="Times New Roman"/>
          <w:color w:val="333333"/>
          <w:kern w:val="1"/>
        </w:rPr>
        <w:t xml:space="preserve"> Ave. W, H’ville 28739</w:t>
      </w:r>
    </w:p>
    <w:p>
      <w:pPr>
        <w:spacing w:after="45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333333"/>
          <w:kern w:val="1"/>
        </w:rPr>
      </w:pPr>
      <w:r>
        <w:rPr>
          <w:rFonts w:ascii="Times New Roman" w:hAnsi="Times New Roman" w:eastAsia="Times New Roman"/>
          <w:color w:val="333333"/>
          <w:kern w:val="1"/>
        </w:rPr>
        <w:t>NCGA: Rep. Jennifer Balkcom, Rep. Jake Johnson, Sen. Timothy Moffitt</w:t>
      </w:r>
    </w:p>
    <w:p>
      <w:pPr>
        <w:spacing w:after="0" w:line="240" w:lineRule="auto"/>
        <w:widowControl w:val="0"/>
        <w:rPr>
          <w:rFonts w:cs="Calibri"/>
          <w:kern w:val="1"/>
        </w:rPr>
      </w:pPr>
      <w:r>
        <w:rPr>
          <w:rFonts w:cs="Calibri"/>
          <w:kern w:val="1"/>
        </w:rPr>
      </w:r>
    </w:p>
    <w:sectPr>
      <w:footnotePr>
        <w:pos w:val="pageBottom"/>
        <w:numFmt w:val="decimal"/>
        <w:numStart w:val="1"/>
        <w:numRestart w:val="continuous"/>
      </w:footnotePr>
      <w:endnotePr>
        <w:pos w:val="docEnd"/>
        <w:numFmt w:val="decimal"/>
        <w:numStart w:val="1"/>
        <w:numRestart w:val="continuous"/>
      </w:endnotePr>
      <w:type w:val="nextPage"/>
      <w:pgSz w:h="15840" w:w="12240"/>
      <w:pgMar w:left="1440" w:top="1440" w:right="1440" w:bottom="1440" w:header="0" w:footer="0"/>
      <w:paperSrc w:first="0" w:other="0" a="0" b="0"/>
      <w:pgNumType w:fmt="decimal"/>
      <w:tmGutter w:val="3"/>
      <w:mirrorMargins w:val="0"/>
      <w:tmSection w:h="-2"/>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Calibri">
    <w:panose1 w:val="020F0502020204030204"/>
    <w:charset w:val="00"/>
    <w:family w:val="swiss"/>
    <w:pitch w:val="default"/>
  </w:font>
  <w:font w:name="Calibri Light">
    <w:panose1 w:val="020F0302020204030204"/>
    <w:charset w:val="00"/>
    <w:family w:val="swiss"/>
    <w:pitch w:val="default"/>
  </w:font>
  <w:font w:name="Wingdings">
    <w:panose1 w:val="05000000000000000000"/>
    <w:charset w:val="02"/>
    <w:family w:val="auto"/>
    <w:pitch w:val="default"/>
  </w:font>
  <w:font w:name="Symbol">
    <w:panose1 w:val="05050102010706020507"/>
    <w:charset w:val="02"/>
    <w:family w:val="roman"/>
    <w:pitch w:val="default"/>
  </w:font>
  <w:font w:name="Courier New">
    <w:panose1 w:val="02070309020205020404"/>
    <w:charset w:val="00"/>
    <w:family w:val="modern"/>
    <w:pitch w:val="default"/>
  </w:font>
  <w:font w:name="Cambria">
    <w:panose1 w:val="02040503050406030204"/>
    <w:charset w:val="00"/>
    <w:family w:val="roman"/>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abstractNum w:abstractNumId="0">
    <w:multiLevelType w:val="hybridMultilevel"/>
    <w:tmNoNumList/>
    <w:lvl w:ilvl="0">
      <w:numFmt w:val="none"/>
      <w:lvlText w:val=""/>
      <w:lvlJc w:val="left"/>
      <w:pPr>
        <w:tabs>
          <w:tab w:val="num" w:pos="360"/>
        </w:tabs>
        <w:ind w:left="360" w:hanging="360"/>
      </w:pPr>
    </w:lvl>
    <w:lvl w:ilvl="1">
      <w:numFmt w:val="none"/>
      <w:lvlText w:val=""/>
      <w:lvlJc w:val="left"/>
      <w:pPr>
        <w:tabs>
          <w:tab w:val="num" w:pos="360"/>
        </w:tabs>
        <w:ind w:left="360" w:hanging="360"/>
      </w:pPr>
    </w:lvl>
    <w:lvl w:ilvl="2">
      <w:numFmt w:val="none"/>
      <w:lvlText w:val=""/>
      <w:lvlJc w:val="left"/>
      <w:pPr>
        <w:tabs>
          <w:tab w:val="num" w:pos="360"/>
        </w:tabs>
        <w:ind w:left="360" w:hanging="360"/>
      </w:pPr>
    </w:lvl>
    <w:lvl w:ilvl="3">
      <w:numFmt w:val="none"/>
      <w:lvlText w:val=""/>
      <w:lvlJc w:val="left"/>
      <w:pPr>
        <w:tabs>
          <w:tab w:val="num" w:pos="360"/>
        </w:tabs>
        <w:ind w:left="360" w:hanging="360"/>
      </w:pPr>
    </w:lvl>
    <w:lvl w:ilvl="4">
      <w:numFmt w:val="none"/>
      <w:lvlText w:val=""/>
      <w:lvlJc w:val="left"/>
      <w:pPr>
        <w:tabs>
          <w:tab w:val="num" w:pos="360"/>
        </w:tabs>
        <w:ind w:left="360" w:hanging="360"/>
      </w:pPr>
    </w:lvl>
    <w:lvl w:ilvl="5">
      <w:numFmt w:val="none"/>
      <w:lvlText w:val=""/>
      <w:lvlJc w:val="left"/>
      <w:pPr>
        <w:tabs>
          <w:tab w:val="num" w:pos="360"/>
        </w:tabs>
        <w:ind w:left="360" w:hanging="360"/>
      </w:pPr>
    </w:lvl>
    <w:lvl w:ilvl="6">
      <w:numFmt w:val="none"/>
      <w:lvlText w:val=""/>
      <w:lvlJc w:val="left"/>
      <w:pPr>
        <w:tabs>
          <w:tab w:val="num" w:pos="360"/>
        </w:tabs>
        <w:ind w:left="360" w:hanging="360"/>
      </w:pPr>
    </w:lvl>
    <w:lvl w:ilvl="7">
      <w:numFmt w:val="none"/>
      <w:lvlText w:val=""/>
      <w:lvlJc w:val="left"/>
      <w:pPr>
        <w:tabs>
          <w:tab w:val="num" w:pos="360"/>
        </w:tabs>
        <w:ind w:left="360" w:hanging="360"/>
      </w:pPr>
    </w:lvl>
    <w:lvl w:ilvl="8">
      <w:numFmt w:val="none"/>
      <w:lvlText w:val=""/>
      <w:lvlJc w:val="left"/>
      <w:pPr>
        <w:tabs>
          <w:tab w:val="num" w:pos="360"/>
        </w:tabs>
        <w:ind w:left="360" w:hanging="360"/>
      </w:pPr>
    </w:lvl>
  </w:abstractNum>
  <w:abstractNum w:abstractNumId="1">
    <w:multiLevelType w:val="singleLevel"/>
    <w:name w:val="Bullet 8"/>
    <w:lvl w:ilvl="0">
      <w:numFmt w:val="bullet"/>
      <w:suff w:val="tab"/>
      <w:lvlText w:val=""/>
      <w:lvlJc w:val="left"/>
      <w:pPr>
        <w:ind w:left="0" w:hanging="0"/>
      </w:pPr>
      <w:rPr>
        <w:rFonts w:ascii="Wingdings" w:hAnsi="Wingdings" w:eastAsia="Wingdings" w:cs="Wingdings"/>
      </w:rPr>
    </w:lvl>
  </w:abstractNum>
  <w:abstractNum w:abstractNumId="2">
    <w:multiLevelType w:val="hybridMultilevel"/>
    <w:name w:val="Numbered list 2"/>
    <w:lvl w:ilvl="0">
      <w:numFmt w:val="bullet"/>
      <w:suff w:val="tab"/>
      <w:lvlText w:val=""/>
      <w:lvlJc w:val="left"/>
      <w:pPr>
        <w:ind w:left="360" w:hanging="0"/>
      </w:pPr>
      <w:rPr>
        <w:rFonts w:ascii="Symbol" w:hAnsi="Symbol"/>
        <w:sz w:val="20"/>
      </w:rPr>
    </w:lvl>
    <w:lvl w:ilvl="1">
      <w:numFmt w:val="bullet"/>
      <w:suff w:val="tab"/>
      <w:lvlText w:val="o"/>
      <w:lvlJc w:val="left"/>
      <w:pPr>
        <w:ind w:left="1080" w:hanging="0"/>
      </w:pPr>
      <w:rPr>
        <w:rFonts w:ascii="Courier New" w:hAnsi="Courier New"/>
        <w:sz w:val="20"/>
      </w:rPr>
    </w:lvl>
    <w:lvl w:ilvl="2">
      <w:numFmt w:val="bullet"/>
      <w:suff w:val="tab"/>
      <w:lvlText w:val=""/>
      <w:lvlJc w:val="left"/>
      <w:pPr>
        <w:ind w:left="1800" w:hanging="0"/>
      </w:pPr>
      <w:rPr>
        <w:rFonts w:ascii="Wingdings" w:hAnsi="Wingdings" w:eastAsia="Wingdings" w:cs="Wingdings"/>
        <w:sz w:val="20"/>
      </w:rPr>
    </w:lvl>
    <w:lvl w:ilvl="3">
      <w:numFmt w:val="bullet"/>
      <w:suff w:val="tab"/>
      <w:lvlText w:val=""/>
      <w:lvlJc w:val="left"/>
      <w:pPr>
        <w:ind w:left="2520" w:hanging="0"/>
      </w:pPr>
      <w:rPr>
        <w:rFonts w:ascii="Wingdings" w:hAnsi="Wingdings" w:eastAsia="Wingdings" w:cs="Wingdings"/>
        <w:sz w:val="20"/>
      </w:rPr>
    </w:lvl>
    <w:lvl w:ilvl="4">
      <w:numFmt w:val="bullet"/>
      <w:suff w:val="tab"/>
      <w:lvlText w:val=""/>
      <w:lvlJc w:val="left"/>
      <w:pPr>
        <w:ind w:left="3240" w:hanging="0"/>
      </w:pPr>
      <w:rPr>
        <w:rFonts w:ascii="Wingdings" w:hAnsi="Wingdings" w:eastAsia="Wingdings" w:cs="Wingdings"/>
        <w:sz w:val="20"/>
      </w:rPr>
    </w:lvl>
    <w:lvl w:ilvl="5">
      <w:numFmt w:val="bullet"/>
      <w:suff w:val="tab"/>
      <w:lvlText w:val=""/>
      <w:lvlJc w:val="left"/>
      <w:pPr>
        <w:ind w:left="3960" w:hanging="0"/>
      </w:pPr>
      <w:rPr>
        <w:rFonts w:ascii="Wingdings" w:hAnsi="Wingdings" w:eastAsia="Wingdings" w:cs="Wingdings"/>
        <w:sz w:val="20"/>
      </w:rPr>
    </w:lvl>
    <w:lvl w:ilvl="6">
      <w:numFmt w:val="bullet"/>
      <w:suff w:val="tab"/>
      <w:lvlText w:val=""/>
      <w:lvlJc w:val="left"/>
      <w:pPr>
        <w:ind w:left="4680" w:hanging="0"/>
      </w:pPr>
      <w:rPr>
        <w:rFonts w:ascii="Wingdings" w:hAnsi="Wingdings" w:eastAsia="Wingdings" w:cs="Wingdings"/>
        <w:sz w:val="20"/>
      </w:rPr>
    </w:lvl>
    <w:lvl w:ilvl="7">
      <w:numFmt w:val="bullet"/>
      <w:suff w:val="tab"/>
      <w:lvlText w:val=""/>
      <w:lvlJc w:val="left"/>
      <w:pPr>
        <w:ind w:left="5400" w:hanging="0"/>
      </w:pPr>
      <w:rPr>
        <w:rFonts w:ascii="Wingdings" w:hAnsi="Wingdings" w:eastAsia="Wingdings" w:cs="Wingdings"/>
        <w:sz w:val="20"/>
      </w:rPr>
    </w:lvl>
    <w:lvl w:ilvl="8">
      <w:numFmt w:val="bullet"/>
      <w:suff w:val="tab"/>
      <w:lvlText w:val=""/>
      <w:lvlJc w:val="left"/>
      <w:pPr>
        <w:ind w:left="6120" w:hanging="0"/>
      </w:pPr>
      <w:rPr>
        <w:rFonts w:ascii="Wingdings" w:hAnsi="Wingdings" w:eastAsia="Wingdings" w:cs="Wingdings"/>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compat>
  <w:shapeDefaults>
    <o:shapedefaults v:ext="edit" spidmax="1026"/>
    <o:shapelayout v:ext="edit">
      <o:rules v:ext="edit"/>
    </o:shapelayout>
  </w:shapeDefaults>
  <w:tmPrefOne w:val="17"/>
  <w:tmPrefTwo w:val="1"/>
  <w:tmFmtPref w:val="55057515"/>
  <w:tmCommentsPr>
    <w:tmCommentsPlace w:val="0"/>
    <w:tmCommentsWidth w:val="3240"/>
    <w:tmCommentsColor w:val="-1"/>
  </w:tmCommentsPr>
  <w:tmReviewPr>
    <w:tmReviewEnabled w:val="0"/>
    <w:tmReviewShow w:val="1"/>
    <w:tmReviewPrint w:val="0"/>
    <w:tmRevisionNum w:val="8"/>
    <w:tmReviewMarkIns w:val="4"/>
    <w:tmReviewColorIns w:val="-1"/>
    <w:tmReviewMarkDel w:val="6"/>
    <w:tmReviewColorDel w:val="-1"/>
    <w:tmReviewMarkFmt w:val="1"/>
    <w:tmReviewColorFmt w:val="-1"/>
    <w:tmReviewMarkLn w:val="1"/>
    <w:tmReviewColorLn w:val="0"/>
    <w:tmReviewToolTip w:val="0"/>
  </w:tmReviewPr>
  <w:tmLastPos>
    <w:tmLastPosPage w:val="0"/>
    <w:tmLastPosSelect w:val="0"/>
    <w:tmLastPosFrameIdx w:val="0"/>
    <w:tmLastPosCaret>
      <w:tmLastPosPgfIdx w:val="1"/>
      <w:tmLastPosIdx w:val="9"/>
    </w:tmLastPosCaret>
    <w:tmLastPosAnchor>
      <w:tmLastPosPgfIdx w:val="0"/>
      <w:tmLastPosIdx w:val="0"/>
    </w:tmLastPosAnchor>
    <w:tmLastPosTblRect w:left="0" w:top="0" w:right="0" w:bottom="0"/>
  </w:tmLastPos>
  <w:tmAppRevision w:date="1721327557" w:val="1068"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paragraph" w:styleId="para2">
    <w:name w:val="heading 2"/>
    <w:qFormat/>
    <w:basedOn w:val="para3"/>
    <w:next w:val="para0"/>
    <w:pPr>
      <w:outlineLvl w:val="1"/>
    </w:pPr>
    <w:rPr>
      <w:sz w:val="32"/>
      <w:szCs w:val="32"/>
    </w:rPr>
    <w:key w:val="1074"/>
  </w:style>
  <w:style w:type="paragraph" w:styleId="para3">
    <w:name w:val="heading 1"/>
    <w:qFormat/>
    <w:basedOn w:val="para0"/>
    <w:next w:val="para0"/>
    <w:pPr>
      <w:spacing w:before="240" w:after="60" w:line="240" w:lineRule="auto"/>
      <w:keepNext/>
      <w:outlineLvl w:val="0"/>
      <w:keepLines/>
      <w:widowControl w:val="0"/>
    </w:pPr>
    <w:rPr>
      <w:rFonts w:ascii="Arial" w:hAnsi="Arial" w:eastAsia="SimSun" w:cs="Arial"/>
      <w:b/>
      <w:bCs/>
      <w:kern w:val="1"/>
      <w:sz w:val="36"/>
      <w:szCs w:val="36"/>
    </w:rPr>
    <w:key w:val="1073"/>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paragraph" w:styleId="para2">
    <w:name w:val="heading 2"/>
    <w:qFormat/>
    <w:basedOn w:val="para3"/>
    <w:next w:val="para0"/>
    <w:pPr>
      <w:outlineLvl w:val="1"/>
    </w:pPr>
    <w:rPr>
      <w:sz w:val="32"/>
      <w:szCs w:val="32"/>
    </w:rPr>
    <w:key w:val="1074"/>
  </w:style>
  <w:style w:type="paragraph" w:styleId="para3">
    <w:name w:val="heading 1"/>
    <w:qFormat/>
    <w:basedOn w:val="para0"/>
    <w:next w:val="para0"/>
    <w:pPr>
      <w:spacing w:before="240" w:after="60" w:line="240" w:lineRule="auto"/>
      <w:keepNext/>
      <w:outlineLvl w:val="0"/>
      <w:keepLines/>
      <w:widowControl w:val="0"/>
    </w:pPr>
    <w:rPr>
      <w:rFonts w:ascii="Arial" w:hAnsi="Arial" w:eastAsia="SimSun" w:cs="Arial"/>
      <w:b/>
      <w:bCs/>
      <w:kern w:val="1"/>
      <w:sz w:val="36"/>
      <w:szCs w:val="36"/>
    </w:rPr>
    <w:key w:val="1073"/>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SimSun"/>
        <a:cs typeface="Arial"/>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rev.1068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Nancy S Brown</cp:lastModifiedBy>
  <cp:revision>8</cp:revision>
  <dcterms:created xsi:type="dcterms:W3CDTF">2022-01-29T18:23:00Z</dcterms:created>
  <dcterms:modified xsi:type="dcterms:W3CDTF">2024-07-18T18:32:37Z</dcterms:modified>
</cp:coreProperties>
</file>