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svg" ContentType="image/svg+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body>
    <w:p>
      <w:pPr>
        <w:spacing/>
        <w:jc w:val="center"/>
        <w:rPr>
          <w:sz w:val="32"/>
          <w:szCs w:val="32"/>
        </w:rPr>
      </w:pPr>
      <w:r/>
      <w:r>
        <w:rPr>
          <w:noProof/>
        </w:rPr>
        <w:drawing>
          <wp:inline distT="0" distB="0" distL="0" distR="0">
            <wp:extent cx="3057525" cy="1529080"/>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
                    <pic:cNvPicPr>
                      <a:picLocks noChangeAspect="1"/>
                      <a:extLst>
                        <a:ext uri="smNativeData">
                          <sm:smNativeData xmlns:sm="smNativeData" val="SMDATA_16_SIC6Zh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yAAAAAAAAAAAAAAAAAAAAAAAAAAAAAAAAAAAAAAAAAAAAAAzxIAAGgJAAAAAAAAAAAAAAAAAAAoAAAACAAAAAEAAAABAAAA"/>
                        </a:ext>
                      </a:extLst>
                    </pic:cNvPicPr>
                  </pic:nvPicPr>
                  <pic:blipFill>
                    <a:blip r:embed="rId8"/>
                    <a:stretch>
                      <a:fillRect/>
                    </a:stretch>
                  </pic:blipFill>
                  <pic:spPr>
                    <a:xfrm>
                      <a:off x="0" y="0"/>
                      <a:ext cx="3057525" cy="1529080"/>
                    </a:xfrm>
                    <a:prstGeom prst="rect">
                      <a:avLst/>
                    </a:prstGeom>
                    <a:noFill/>
                    <a:ln w="12700">
                      <a:noFill/>
                    </a:ln>
                  </pic:spPr>
                </pic:pic>
              </a:graphicData>
            </a:graphic>
          </wp:inline>
        </w:drawing>
      </w:r>
      <w:r/>
      <w:r>
        <w:rPr>
          <w:sz w:val="32"/>
          <w:szCs w:val="32"/>
        </w:rPr>
      </w:r>
    </w:p>
    <w:p>
      <w:pPr>
        <w:spacing/>
        <w:jc w:val="center"/>
        <w:rPr>
          <w:b/>
          <w:bCs/>
          <w:sz w:val="32"/>
          <w:szCs w:val="32"/>
        </w:rPr>
      </w:pPr>
      <w:r>
        <w:rPr>
          <w:b/>
          <w:bCs/>
          <w:sz w:val="32"/>
          <w:szCs w:val="32"/>
        </w:rPr>
        <w:t>August 16, 2024</w:t>
      </w:r>
    </w:p>
    <w:p>
      <w:pPr>
        <w:rPr>
          <w:rFonts w:ascii="Times New Roman" w:hAnsi="Times New Roman" w:eastAsia="Times New Roman"/>
          <w:kern w:val="1"/>
          <w:sz w:val="24"/>
          <w:szCs w:val="24"/>
        </w:rPr>
      </w:pPr>
      <w:r>
        <w:rPr>
          <w:b/>
          <w:sz w:val="28"/>
          <w:szCs w:val="28"/>
        </w:rPr>
        <w:br w:type="textWrapping"/>
      </w:r>
      <w:r>
        <w:rPr>
          <w:rFonts w:ascii="Times New Roman" w:hAnsi="Times New Roman" w:eastAsia="Times New Roman"/>
          <w:kern w:val="1"/>
          <w:sz w:val="24"/>
          <w:szCs w:val="24"/>
        </w:rPr>
        <w:t>As we meet at Postcards today to write messages of hope for those struggling with addictions, there is also much that society can do on a collective level. It is incomprehensible that we are more willing to spend hundreds of billions of dollars on police tactics and incarceration instead of much lower sums on comprehensive treatment and therapy. So, take a few minutes today to also to send notes to specific powers-that-be to encourage support for these efforts. We have deliberately chosen to restrict today’s focus to NC issues.</w:t>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kern w:val="1"/>
          <w:sz w:val="24"/>
          <w:szCs w:val="24"/>
        </w:rPr>
      </w:r>
    </w:p>
    <w:p>
      <w:pPr>
        <w:spacing w:after="0" w:line="240" w:lineRule="auto"/>
        <w:widowControl w:val="0"/>
        <w:rPr>
          <w:rFonts w:ascii="Times New Roman" w:hAnsi="Times New Roman" w:eastAsia="Times New Roman"/>
          <w:b/>
          <w:bCs/>
          <w:kern w:val="1"/>
          <w:sz w:val="28"/>
          <w:szCs w:val="28"/>
        </w:rPr>
      </w:pPr>
      <w:r>
        <w:rPr>
          <w:rFonts w:ascii="Times New Roman" w:hAnsi="Times New Roman" w:eastAsia="Times New Roman"/>
          <w:b/>
          <w:bCs/>
          <w:kern w:val="1"/>
          <w:sz w:val="28"/>
          <w:szCs w:val="28"/>
        </w:rPr>
        <w:t xml:space="preserve">North Carolina: </w:t>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kern w:val="1"/>
          <w:sz w:val="24"/>
          <w:szCs w:val="24"/>
        </w:rPr>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b/>
          <w:bCs/>
          <w:kern w:val="1"/>
          <w:sz w:val="24"/>
          <w:szCs w:val="24"/>
        </w:rPr>
        <w:t>Communicate with Reps. Balkcom and Johnson. and particularly Sen. Moffitt</w:t>
      </w:r>
      <w:r>
        <w:rPr>
          <w:rFonts w:ascii="Times New Roman" w:hAnsi="Times New Roman" w:eastAsia="Times New Roman"/>
          <w:kern w:val="1"/>
          <w:sz w:val="24"/>
          <w:szCs w:val="24"/>
        </w:rPr>
        <w:t xml:space="preserve">, to urge their support on the following: </w:t>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kern w:val="1"/>
          <w:sz w:val="24"/>
          <w:szCs w:val="24"/>
        </w:rPr>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b/>
          <w:bCs/>
          <w:kern w:val="1"/>
          <w:sz w:val="28"/>
          <w:szCs w:val="28"/>
        </w:rPr>
        <w:t xml:space="preserve">The State Budget. </w:t>
      </w:r>
      <w:r>
        <w:rPr>
          <w:rFonts w:ascii="Times New Roman" w:hAnsi="Times New Roman" w:eastAsia="Times New Roman"/>
          <w:kern w:val="1"/>
          <w:sz w:val="24"/>
          <w:szCs w:val="24"/>
        </w:rPr>
        <w:t xml:space="preserve"> Thanks to GOP intransigence in the Senate, the 2</w:t>
      </w:r>
      <w:r>
        <w:rPr>
          <w:rFonts w:ascii="Times New Roman" w:hAnsi="Times New Roman" w:eastAsia="Times New Roman"/>
          <w:kern w:val="1"/>
          <w:sz w:val="24"/>
          <w:szCs w:val="24"/>
          <w:vertAlign w:val="superscript"/>
        </w:rPr>
        <w:t>nd</w:t>
      </w:r>
      <w:r>
        <w:rPr>
          <w:rFonts w:ascii="Times New Roman" w:hAnsi="Times New Roman" w:eastAsia="Times New Roman"/>
          <w:kern w:val="1"/>
          <w:sz w:val="24"/>
          <w:szCs w:val="24"/>
        </w:rPr>
        <w:t xml:space="preserve"> year of the biennial State budget (started July 1, 2024) does nothing to redirect unexpectedly high State revenues to areas of need. Gov. Cooper submitted his recommended Year 2 budget amendments in March, yet the Senate refuses to act on them, leaving no opportunity for negotiations.  Some of Cooper’s recommendations in areas of mental health include:</w:t>
      </w:r>
      <w:r>
        <w:rPr>
          <w:rFonts w:ascii="Times New Roman" w:hAnsi="Times New Roman" w:eastAsia="Times New Roman"/>
          <w:kern w:val="1"/>
          <w:sz w:val="24"/>
          <w:szCs w:val="24"/>
        </w:rPr>
      </w:r>
    </w:p>
    <w:p>
      <w:pPr>
        <w:ind w:left="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563c1"/>
          <w:kern w:val="1"/>
          <w:sz w:val="24"/>
          <w:szCs w:val="24"/>
        </w:rPr>
      </w:pPr>
      <w:r>
        <w:rPr>
          <w:rFonts w:ascii="Times New Roman" w:hAnsi="Times New Roman" w:eastAsia="Times New Roman"/>
          <w:color w:val="0563c1"/>
          <w:kern w:val="1"/>
          <w:sz w:val="24"/>
          <w:szCs w:val="24"/>
        </w:rPr>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Provide $200.0 million nonrecurring in child care compensation grants that support the work force when federal support expires on July 1, 2024.</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Provide $128.5 million to create a state wide rate floor that will increase child care subsidy reimbursement rates in rural and lower wealth communities. </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Allot $26.0 million in educational attainment-based salary supplements to 4,000 additional child care teachers to help attract and retain qualified staff in early childhood programs.</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Invest $197.0 million to raise Pre-K reimbursement rates in all settings to cover the full cost of care and raise the administrative rate from 4.0 percent to 10.0 percent.</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Provide $56.8 million to increase funding for the Children with Disabilities allotment. </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Provide a refundable child and dependent care tax credit for families for eligible care expenses, decreasing general fund revenues by $57.8 million.</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color w:val="000000"/>
          <w:kern w:val="1"/>
          <w:sz w:val="24"/>
          <w:szCs w:val="24"/>
        </w:rPr>
      </w:pPr>
      <w:r>
        <w:rPr>
          <w:rFonts w:ascii="Times New Roman" w:hAnsi="Times New Roman" w:eastAsia="Times New Roman"/>
          <w:color w:val="000000"/>
          <w:kern w:val="1"/>
          <w:sz w:val="24"/>
          <w:szCs w:val="24"/>
        </w:rPr>
        <w:t>Provide $44.6 million to support school health personnel including school counselors, nurses, social workers, and psychologists.</w:t>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kern w:val="1"/>
          <w:sz w:val="24"/>
          <w:szCs w:val="24"/>
        </w:rPr>
      </w:r>
    </w:p>
    <w:p>
      <w:pPr>
        <w:spacing w:after="0" w:line="240" w:lineRule="auto"/>
        <w:widowControl w:val="0"/>
        <w:rPr>
          <w:rFonts w:ascii="Times New Roman" w:hAnsi="Times New Roman" w:eastAsia="Times New Roman"/>
          <w:kern w:val="1"/>
          <w:sz w:val="24"/>
          <w:szCs w:val="24"/>
        </w:rPr>
      </w:pPr>
      <w:r>
        <w:rPr>
          <w:rFonts w:ascii="Times New Roman" w:hAnsi="Times New Roman" w:eastAsia="Times New Roman"/>
          <w:kern w:val="1"/>
          <w:sz w:val="24"/>
          <w:szCs w:val="24"/>
        </w:rPr>
        <w:t>The State can easily afford these expenditures, even with the GOP’s “weird” focus on eliminating income taxes. You might also drop a note to Gov. Cooper, urging him to VETO any final budget proposal if it does not contain a significant portion of his recommendations from March:</w:t>
      </w:r>
    </w:p>
    <w:p>
      <w:pPr>
        <w:spacing w:after="0" w:line="240" w:lineRule="auto"/>
        <w:widowControl w:val="0"/>
        <w:rPr>
          <w:rFonts w:ascii="Times New Roman" w:hAnsi="Times New Roman" w:eastAsia="Times New Roman"/>
          <w:b/>
          <w:bCs/>
          <w:kern w:val="1"/>
          <w:sz w:val="28"/>
          <w:szCs w:val="28"/>
        </w:rPr>
      </w:pPr>
      <w:r>
        <w:rPr>
          <w:rFonts w:ascii="Times New Roman" w:hAnsi="Times New Roman" w:eastAsia="Times New Roman"/>
          <w:b/>
          <w:bCs/>
          <w:kern w:val="1"/>
          <w:sz w:val="28"/>
          <w:szCs w:val="28"/>
        </w:rPr>
      </w:r>
    </w:p>
    <w:p>
      <w:pPr>
        <w:spacing w:after="0" w:line="240" w:lineRule="auto"/>
        <w:widowControl w:val="0"/>
        <w:rPr>
          <w:rFonts w:ascii="Times New Roman" w:hAnsi="Times New Roman" w:eastAsia="Times New Roman"/>
          <w:b/>
          <w:bCs/>
          <w:kern w:val="1"/>
          <w:sz w:val="28"/>
          <w:szCs w:val="28"/>
        </w:rPr>
      </w:pPr>
      <w:r>
        <w:rPr>
          <w:rFonts w:ascii="Times New Roman" w:hAnsi="Times New Roman" w:eastAsia="Times New Roman"/>
          <w:b/>
          <w:bCs/>
          <w:kern w:val="1"/>
          <w:sz w:val="28"/>
          <w:szCs w:val="28"/>
        </w:rPr>
      </w:r>
    </w:p>
    <w:p>
      <w:pPr>
        <w:spacing w:after="24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sz w:val="24"/>
          <w:szCs w:val="24"/>
        </w:rPr>
      </w:pPr>
      <w:r>
        <w:rPr>
          <w:rFonts w:ascii="Times New Roman" w:hAnsi="Times New Roman" w:eastAsia="Times New Roman"/>
          <w:b/>
          <w:bCs/>
          <w:color w:val="000000"/>
          <w:kern w:val="1"/>
          <w:sz w:val="24"/>
          <w:szCs w:val="24"/>
        </w:rPr>
        <w:t>Also languishing in the NCGA is House Bill 891 </w:t>
      </w:r>
      <w:r>
        <w:rPr>
          <w:rFonts w:ascii="Times New Roman" w:hAnsi="Times New Roman" w:eastAsia="Times New Roman"/>
          <w:color w:val="000000"/>
          <w:kern w:val="1"/>
          <w:sz w:val="24"/>
          <w:szCs w:val="24"/>
        </w:rPr>
        <w:t>(Public) </w:t>
      </w:r>
      <w:r>
        <w:rPr>
          <w:rFonts w:ascii="Times New Roman" w:hAnsi="Times New Roman" w:eastAsia="Times New Roman"/>
          <w:i/>
          <w:color w:val="000000"/>
          <w:kern w:val="1"/>
          <w:sz w:val="24"/>
          <w:szCs w:val="24"/>
        </w:rPr>
        <w:t>Filed Tuesday, April 25, 2023</w:t>
      </w:r>
      <w:r>
        <w:rPr>
          <w:rFonts w:ascii="Times New Roman" w:hAnsi="Times New Roman" w:eastAsia="Times New Roman"/>
          <w:color w:val="000000"/>
          <w:kern w:val="1"/>
          <w:sz w:val="24"/>
          <w:szCs w:val="24"/>
        </w:rPr>
        <w:t xml:space="preserve"> </w:t>
      </w:r>
      <w:r>
        <w:rPr>
          <w:rFonts w:ascii="Times New Roman" w:hAnsi="Times New Roman" w:eastAsia="Times New Roman"/>
          <w:kern w:val="1"/>
          <w:sz w:val="24"/>
          <w:szCs w:val="24"/>
        </w:rPr>
        <w:t>AN ACT TO ACHIEVE BETTER MENTAL HEALTH RECOVERY RESULTS BY SUPPORTING PEER-RUN RECOVERY WELLNESS CENTERS, BY CREATING A NORTH CAROLINA MENTAL HEALTH RECOVERY AND RESILIENCY AGENDA, AND BY REQUIRING A MENTAL HEALTH RECOVERY POLICY CHIEF WITHIN THE DIVISION OF MENTAL HEALTH, DEVELOPMENTAL DISABILITIES, AND SUBSTANCE ABUSE SERVICES IN THE DEPARTMENT OF HEALTH AND HUMAN SERVICES.</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b/>
          <w:bCs/>
          <w:kern w:val="1"/>
          <w:sz w:val="28"/>
          <w:szCs w:val="28"/>
        </w:rPr>
      </w:pPr>
      <w:r>
        <w:rPr>
          <w:rFonts w:ascii="Times New Roman" w:hAnsi="Times New Roman" w:eastAsia="Times New Roman"/>
          <w:b/>
          <w:bCs/>
          <w:kern w:val="1"/>
          <w:sz w:val="28"/>
          <w:szCs w:val="28"/>
        </w:rPr>
        <w:t>Henderson County</w:t>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Times New Roman" w:hAnsi="Times New Roman" w:eastAsia="Times New Roman"/>
          <w:kern w:val="1"/>
          <w:sz w:val="24"/>
          <w:szCs w:val="24"/>
        </w:rPr>
      </w:pPr>
      <w:r>
        <w:rPr>
          <w:rFonts w:ascii="Times New Roman" w:hAnsi="Times New Roman" w:eastAsia="Times New Roman"/>
          <w:kern w:val="1"/>
          <w:sz w:val="24"/>
          <w:szCs w:val="24"/>
        </w:rPr>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t xml:space="preserve">And, </w:t>
      </w:r>
      <w:r>
        <w:rPr>
          <w:rFonts w:ascii="Times New Roman" w:hAnsi="Times New Roman" w:eastAsia="SimSun"/>
          <w:b/>
          <w:bCs/>
          <w:kern w:val="1"/>
          <w:sz w:val="24"/>
          <w:szCs w:val="24"/>
        </w:rPr>
        <w:t>on a more local level</w:t>
      </w:r>
      <w:r>
        <w:rPr>
          <w:rFonts w:ascii="Times New Roman" w:hAnsi="Times New Roman" w:eastAsia="SimSun"/>
          <w:kern w:val="1"/>
          <w:sz w:val="24"/>
          <w:szCs w:val="24"/>
        </w:rPr>
        <w:t>, urge our County Commissioners to fund an experiment to use EMTs for more routine interactions and preventative measures:</w:t>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r>
    </w:p>
    <w:p>
      <w:pPr>
        <w:spacing w:after="0" w:line="240" w:lineRule="auto"/>
        <w:widowControl w:val="0"/>
        <w:rPr>
          <w:rFonts w:ascii="Times New Roman" w:hAnsi="Times New Roman" w:eastAsia="SimSun"/>
          <w:b/>
          <w:kern w:val="1"/>
          <w:sz w:val="24"/>
          <w:szCs w:val="24"/>
        </w:rPr>
      </w:pPr>
      <w:r>
        <w:rPr>
          <w:rFonts w:ascii="Times New Roman" w:hAnsi="Times New Roman" w:eastAsia="SimSun"/>
          <w:i/>
          <w:iCs/>
          <w:kern w:val="1"/>
          <w:sz w:val="24"/>
          <w:szCs w:val="24"/>
        </w:rPr>
        <w:t xml:space="preserve">As fentanyl-related overdoses increase across N.C., Durham’s community paramedics are administering medications to help people recover after opioid overdoses. </w:t>
      </w:r>
      <w:r>
        <w:rPr>
          <w:rFonts w:ascii="Times New Roman" w:hAnsi="Times New Roman" w:eastAsia="SimSun"/>
          <w:kern w:val="1"/>
          <w:sz w:val="24"/>
          <w:szCs w:val="24"/>
        </w:rPr>
        <w:t xml:space="preserve">by Vibhay Nandagiri </w:t>
      </w:r>
      <w:r>
        <w:rPr>
          <w:rStyle w:val="char1"/>
          <w:rFonts w:ascii="Times New Roman" w:hAnsi="Times New Roman" w:eastAsia="SimSun"/>
          <w:b/>
          <w:kern w:val="1"/>
          <w:sz w:val="24"/>
          <w:szCs w:val="24"/>
        </w:rPr>
        <w:t xml:space="preserve">  </w:t>
      </w:r>
      <w:r>
        <w:rPr>
          <w:rFonts w:ascii="Times New Roman" w:hAnsi="Times New Roman" w:eastAsia="SimSun"/>
          <w:b/>
          <w:kern w:val="1"/>
          <w:sz w:val="24"/>
          <w:szCs w:val="24"/>
        </w:rPr>
        <w:t>NorthCarolinaHealthNews.org      July 19, 2024</w:t>
      </w:r>
      <w:r>
        <w:rPr>
          <w:rFonts w:ascii="Times New Roman" w:hAnsi="Times New Roman" w:eastAsia="SimSun"/>
          <w:b/>
          <w:kern w:val="1"/>
          <w:sz w:val="24"/>
          <w:szCs w:val="24"/>
        </w:rPr>
      </w:r>
    </w:p>
    <w:p>
      <w:pPr>
        <w:spacing w:after="0" w:line="240" w:lineRule="auto"/>
        <w:widowControl w:val="0"/>
        <w:rPr>
          <w:rFonts w:ascii="Times New Roman" w:hAnsi="Times New Roman" w:eastAsia="SimSun"/>
          <w:b/>
          <w:kern w:val="1"/>
          <w:sz w:val="24"/>
          <w:szCs w:val="24"/>
        </w:rPr>
      </w:pPr>
      <w:r>
        <w:rPr>
          <w:rFonts w:ascii="Times New Roman" w:hAnsi="Times New Roman" w:eastAsia="SimSun"/>
          <w:b/>
          <w:kern w:val="1"/>
          <w:sz w:val="24"/>
          <w:szCs w:val="24"/>
        </w:rPr>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t>Riley is part of a community paramedics program in Durham County that includes one full-time employee and two interim members of the team. The program began in 2017 to serve people with substance use issues, mental illnesses and chronic medical conditions through home visits, community check-ins and their professional connections with health care centers. The goal is to cut down on reliance on 911 and take essential information and medications to patients who are frequent callers. These specially trained paramedics serve as bridges to clinics, detox centers and other facilities that provide non urgent care. They also help the elderly, disabled and others make their homes safer, such as pointing out measures they can take to better prevent falls, and help organize transportation to medical appointments.</w:t>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t>McDowell County touted itself as one of the earlier programs in the country and among the first in rural NC after launching in 2013 with funding from the Kate B. Reynolds Charitable Trust. Others have launched more recently with some of the $750 million allocated to the State as part of the settlement with pharmaceutical manufacturers and distributors accused of stoking the opioid crisis. Edgecombe County started a program in 2023. Onslow County has slots for eight full-time workers. Johnston County, Davie County, Caldwell County, Orange County, and Tancey County are also on board.</w:t>
      </w:r>
    </w:p>
    <w:p>
      <w:pPr>
        <w:spacing w:after="0" w:line="240" w:lineRule="auto"/>
        <w:widowControl w:val="0"/>
        <w:rPr>
          <w:rFonts w:ascii="Times New Roman" w:hAnsi="Times New Roman" w:eastAsia="SimSun"/>
          <w:kern w:val="1"/>
          <w:sz w:val="24"/>
          <w:szCs w:val="24"/>
        </w:rPr>
      </w:pPr>
      <w:r>
        <w:rPr>
          <w:rFonts w:ascii="Times New Roman" w:hAnsi="Times New Roman" w:eastAsia="SimSun"/>
          <w:kern w:val="1"/>
          <w:sz w:val="24"/>
          <w:szCs w:val="24"/>
        </w:rPr>
      </w:r>
    </w:p>
    <w:p>
      <w:pPr>
        <w:spacing w:after="0" w:line="240" w:lineRule="auto"/>
        <w:widowControl w:val="0"/>
        <w:rPr>
          <w:rFonts w:ascii="Times New Roman" w:hAnsi="Times New Roman" w:eastAsia="SimSun"/>
          <w:b/>
          <w:bCs/>
          <w:kern w:val="1"/>
          <w:sz w:val="24"/>
          <w:szCs w:val="24"/>
        </w:rPr>
      </w:pPr>
      <w:r>
        <w:rPr>
          <w:rFonts w:ascii="Times New Roman" w:hAnsi="Times New Roman" w:eastAsia="SimSun"/>
          <w:b/>
          <w:bCs/>
          <w:kern w:val="1"/>
          <w:sz w:val="24"/>
          <w:szCs w:val="24"/>
        </w:rPr>
        <w:t>Write to Commissioners J. Michael Edney, David Hill, Daniel Andreotta, William Lapsley, and Rebecca McCall at 1 Historic Courthouse Sq., Suite 1, Hendersonville, NC 28792</w:t>
      </w:r>
    </w:p>
    <w:p>
      <w:pPr>
        <w:rPr>
          <w:b/>
          <w:sz w:val="28"/>
          <w:szCs w:val="28"/>
        </w:rPr>
      </w:pPr>
      <w:r>
        <w:rPr>
          <w:b/>
          <w:sz w:val="28"/>
          <w:szCs w:val="28"/>
        </w:rPr>
      </w:r>
    </w:p>
    <w:sectPr>
      <w:footnotePr>
        <w:pos w:val="pageBottom"/>
        <w:numFmt w:val="decimal"/>
        <w:numStart w:val="1"/>
        <w:numRestart w:val="continuous"/>
      </w:footnotePr>
      <w:endnotePr>
        <w:pos w:val="docEnd"/>
        <w:numFmt w:val="decimal"/>
        <w:numStart w:val="1"/>
        <w:numRestart w:val="continuous"/>
      </w:endnotePr>
      <w:type w:val="nextPage"/>
      <w:pgSz w:h="15840" w:w="12240"/>
      <w:pgMar w:left="1440" w:top="1440" w:right="1440" w:bottom="1440" w:header="0" w:footer="0"/>
      <w:paperSrc w:first="0" w:other="0" a="0" b="0"/>
      <w:pgNumType w:fmt="decimal"/>
      <w:tmGutter w:val="3"/>
      <w:mirrorMargins w:val="0"/>
      <w:tmSection w:h="-2"/>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Calibri">
    <w:panose1 w:val="020F0502020204030204"/>
    <w:charset w:val="00"/>
    <w:family w:val="swiss"/>
    <w:pitch w:val="default"/>
  </w:font>
  <w:font w:name="Calibri Light">
    <w:panose1 w:val="020F0302020204030204"/>
    <w:charset w:val="00"/>
    <w:family w:val="swiss"/>
    <w:pitch w:val="default"/>
  </w:font>
  <w:font w:name="Wingdings">
    <w:panose1 w:val="05000000000000000000"/>
    <w:charset w:val="02"/>
    <w:family w:val="auto"/>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abstractNum w:abstractNumId="0">
    <w:multiLevelType w:val="hybridMultilevel"/>
    <w:tmNoNumList/>
    <w:lvl w:ilvl="0">
      <w:numFmt w:val="none"/>
      <w:lvlText w:val=""/>
      <w:lvlJc w:val="left"/>
      <w:pPr>
        <w:tabs>
          <w:tab w:val="num" w:pos="360"/>
        </w:tabs>
        <w:ind w:left="360" w:hanging="360"/>
      </w:pPr>
    </w:lvl>
    <w:lvl w:ilvl="1">
      <w:numFmt w:val="none"/>
      <w:lvlText w:val=""/>
      <w:lvlJc w:val="left"/>
      <w:pPr>
        <w:tabs>
          <w:tab w:val="num" w:pos="360"/>
        </w:tabs>
        <w:ind w:left="360" w:hanging="360"/>
      </w:pPr>
    </w:lvl>
    <w:lvl w:ilvl="2">
      <w:numFmt w:val="none"/>
      <w:lvlText w:val=""/>
      <w:lvlJc w:val="left"/>
      <w:pPr>
        <w:tabs>
          <w:tab w:val="num" w:pos="360"/>
        </w:tabs>
        <w:ind w:left="360" w:hanging="360"/>
      </w:pPr>
    </w:lvl>
    <w:lvl w:ilvl="3">
      <w:numFmt w:val="none"/>
      <w:lvlText w:val=""/>
      <w:lvlJc w:val="left"/>
      <w:pPr>
        <w:tabs>
          <w:tab w:val="num" w:pos="360"/>
        </w:tabs>
        <w:ind w:left="360" w:hanging="360"/>
      </w:pPr>
    </w:lvl>
    <w:lvl w:ilvl="4">
      <w:numFmt w:val="none"/>
      <w:lvlText w:val=""/>
      <w:lvlJc w:val="left"/>
      <w:pPr>
        <w:tabs>
          <w:tab w:val="num" w:pos="360"/>
        </w:tabs>
        <w:ind w:left="360" w:hanging="360"/>
      </w:pPr>
    </w:lvl>
    <w:lvl w:ilvl="5">
      <w:numFmt w:val="none"/>
      <w:lvlText w:val=""/>
      <w:lvlJc w:val="left"/>
      <w:pPr>
        <w:tabs>
          <w:tab w:val="num" w:pos="360"/>
        </w:tabs>
        <w:ind w:left="360" w:hanging="360"/>
      </w:pPr>
    </w:lvl>
    <w:lvl w:ilvl="6">
      <w:numFmt w:val="none"/>
      <w:lvlText w:val=""/>
      <w:lvlJc w:val="left"/>
      <w:pPr>
        <w:tabs>
          <w:tab w:val="num" w:pos="360"/>
        </w:tabs>
        <w:ind w:left="360" w:hanging="360"/>
      </w:pPr>
    </w:lvl>
    <w:lvl w:ilvl="7">
      <w:numFmt w:val="none"/>
      <w:lvlText w:val=""/>
      <w:lvlJc w:val="left"/>
      <w:pPr>
        <w:tabs>
          <w:tab w:val="num" w:pos="360"/>
        </w:tabs>
        <w:ind w:left="360" w:hanging="360"/>
      </w:pPr>
    </w:lvl>
    <w:lvl w:ilvl="8">
      <w:numFmt w:val="none"/>
      <w:lvlText w:val=""/>
      <w:lvlJc w:val="left"/>
      <w:pPr>
        <w:tabs>
          <w:tab w:val="num" w:pos="360"/>
        </w:tabs>
        <w:ind w:left="360" w:hanging="360"/>
      </w:pPr>
    </w:lvl>
  </w:abstractNum>
  <w:abstractNum w:abstractNumId="1">
    <w:multiLevelType w:val="singleLevel"/>
    <w:name w:val="Bullet 2"/>
    <w:lvl w:ilvl="0">
      <w:numFmt w:val="bullet"/>
      <w:suff w:val="tab"/>
      <w:lvlText w:val=""/>
      <w:lvlJc w:val="left"/>
      <w:pPr>
        <w:ind w:left="0" w:hanging="0"/>
      </w:pPr>
      <w:rPr>
        <w:rFonts w:ascii="Wingdings" w:hAnsi="Wingdings" w:eastAsia="Wingdings" w:cs="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compat>
  <w:shapeDefaults>
    <o:shapedefaults v:ext="edit" spidmax="1026"/>
    <o:shapelayout v:ext="edit">
      <o:rules v:ext="edit"/>
    </o:shapelayout>
  </w:shapeDefaults>
  <w:tmPrefOne w:val="17"/>
  <w:tmPrefTwo w:val="1"/>
  <w:tmFmtPref w:val="55057515"/>
  <w:tmCommentsPr>
    <w:tmCommentsPlace w:val="0"/>
    <w:tmCommentsWidth w:val="3240"/>
    <w:tmCommentsColor w:val="-1"/>
  </w:tmCommentsPr>
  <w:tmReviewPr>
    <w:tmReviewEnabled w:val="0"/>
    <w:tmReviewShow w:val="1"/>
    <w:tmReviewPrint w:val="0"/>
    <w:tmRevisionNum w:val="8"/>
    <w:tmReviewMarkIns w:val="4"/>
    <w:tmReviewColorIns w:val="-1"/>
    <w:tmReviewMarkDel w:val="6"/>
    <w:tmReviewColorDel w:val="-1"/>
    <w:tmReviewMarkFmt w:val="1"/>
    <w:tmReviewColorFmt w:val="-1"/>
    <w:tmReviewMarkLn w:val="1"/>
    <w:tmReviewColorLn w:val="0"/>
    <w:tmReviewToolTip w:val="0"/>
  </w:tmReviewPr>
  <w:tmLastPos>
    <w:tmLastPosPage w:val="1"/>
    <w:tmLastPosSelect w:val="1"/>
    <w:tmLastPosFrameIdx w:val="0"/>
    <w:tmLastPosCaret>
      <w:tmLastPosPgfIdx w:val="21"/>
      <w:tmLastPosIdx w:val="0"/>
    </w:tmLastPosCaret>
    <w:tmLastPosAnchor>
      <w:tmLastPosPgfIdx w:val="21"/>
      <w:tmLastPosIdx w:val="86"/>
    </w:tmLastPosAnchor>
    <w:tmLastPosTblRect w:left="0" w:top="0" w:right="0" w:bottom="0"/>
  </w:tmLastPos>
  <w:tmAppRevision w:date="1723498568" w:val="1068"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rev.1068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Nancy S Brown</cp:lastModifiedBy>
  <cp:revision>8</cp:revision>
  <dcterms:created xsi:type="dcterms:W3CDTF">2022-01-29T18:23:00Z</dcterms:created>
  <dcterms:modified xsi:type="dcterms:W3CDTF">2024-08-12T21:36:08Z</dcterms:modified>
</cp:coreProperties>
</file>