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32"/>
          <w:szCs w:val="32"/>
        </w:rPr>
      </w:pPr>
      <w:r/>
      <w:r>
        <w:rPr>
          <w:noProof/>
        </w:rPr>
        <w:drawing>
          <wp:inline distT="0" distB="0" distL="0" distR="0">
            <wp:extent cx="3057525" cy="1529080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6_6V6ZZ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zxIAAGgJ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5290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32"/>
          <w:szCs w:val="32"/>
        </w:rPr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21, 2023</w:t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numPr>
          <w:ilvl w:val="0"/>
          <w:numId w:val="2"/>
        </w:numPr>
        <w:ind w:left="720" w:hanging="360"/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>We have three goals in today’s postcard party:</w:t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ind w:firstLine="720"/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>- education regarding issues of period products</w:t>
      </w:r>
    </w:p>
    <w:p>
      <w:pPr>
        <w:ind w:firstLine="720"/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>- express support for menstruating teens and women</w:t>
      </w:r>
    </w:p>
    <w:p>
      <w:pPr>
        <w:ind w:firstLine="720"/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 xml:space="preserve">- encourage our legislators to address menstrual issues </w:t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 xml:space="preserve">Appropriate phrases of support to write on </w:t>
      </w:r>
      <w:r>
        <w:rPr>
          <w:rFonts w:cs="Calibri"/>
          <w:b/>
          <w:bCs/>
          <w:kern w:val="1"/>
        </w:rPr>
        <w:t>anonymous</w:t>
      </w:r>
      <w:r>
        <w:rPr>
          <w:rFonts w:cs="Calibri"/>
          <w:kern w:val="1"/>
        </w:rPr>
        <w:t xml:space="preserve"> postcards are elsewhere in this gathering.</w:t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</w:r>
    </w:p>
    <w:p>
      <w:pPr>
        <w:spacing w:after="0" w:line="240" w:lineRule="auto"/>
        <w:widowControl w:val="0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  <w:t>Here are some appropriate facts regarding period issues in NC:</w:t>
      </w:r>
    </w:p>
    <w:p>
      <w:pPr>
        <w:spacing w:after="0" w:line="240" w:lineRule="auto"/>
        <w:widowControl w:val="0"/>
        <w:rPr>
          <w:rFonts w:cs="Calibri"/>
          <w:b/>
          <w:bCs/>
          <w:kern w:val="1"/>
        </w:rPr>
      </w:pPr>
      <w:r>
        <w:rPr>
          <w:rFonts w:cs="Calibri"/>
          <w:b/>
          <w:bCs/>
          <w:kern w:val="1"/>
        </w:rPr>
      </w:r>
    </w:p>
    <w:p>
      <w:pPr>
        <w:ind w:firstLine="720"/>
        <w:spacing w:after="0" w:line="240" w:lineRule="auto"/>
        <w:widowControl w:val="0"/>
        <w:rPr>
          <w:rFonts w:cs="Calibri"/>
          <w:kern w:val="1"/>
        </w:rPr>
      </w:pPr>
      <w:r>
        <w:rPr>
          <w:rFonts w:cs="Calibri"/>
          <w:kern w:val="1"/>
        </w:rPr>
        <w:t xml:space="preserve">- One in five low-income women reports missing work, school or similar events due to lack of </w:t>
        <w:tab/>
        <w:tab/>
        <w:tab/>
        <w:t>access to period supplies.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In the U.S. about </w:t>
      </w:r>
      <w:hyperlink r:id="rId9" w:history="1">
        <w:r>
          <w:rPr>
            <w:rStyle w:val="char1"/>
            <w:rFonts w:ascii="Calibri" w:hAnsi="Calibri" w:cs="Calibri"/>
            <w:kern w:val="1"/>
            <w:sz w:val="22"/>
            <w:szCs w:val="22"/>
            <w:lang w:eastAsia="en-us"/>
          </w:rPr>
          <w:t>16.9 million</w:t>
        </w:r>
      </w:hyperlink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people with </w:t>
      </w:r>
      <w:hyperlink r:id="rId10" w:history="1">
        <w:r>
          <w:rPr>
            <w:rStyle w:val="char1"/>
            <w:rFonts w:ascii="Calibri" w:hAnsi="Calibri" w:cs="Calibri"/>
            <w:kern w:val="1"/>
            <w:sz w:val="22"/>
            <w:szCs w:val="22"/>
            <w:lang w:eastAsia="en-us"/>
          </w:rPr>
          <w:t>periods</w:t>
        </w:r>
      </w:hyperlink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live in poverty. And like poverty in general, </w:t>
        <w:tab/>
        <w:tab/>
        <w:tab/>
        <w:t xml:space="preserve">period poverty stems from income disparities and lack of access to much-needed </w:t>
        <w:tab/>
        <w:tab/>
        <w:tab/>
        <w:t xml:space="preserve">resources. Not to mention, periods have become expensive. </w:t>
      </w:r>
      <w:r>
        <w:rPr>
          <w:rFonts w:ascii="Calibri" w:hAnsi="Calibri" w:cs="Calibri"/>
          <w:kern w:val="1"/>
          <w:sz w:val="22"/>
          <w:szCs w:val="22"/>
          <w:lang w:eastAsia="en-us"/>
        </w:rPr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A 2021 Statista survey found </w:t>
      </w:r>
      <w:hyperlink r:id="rId11" w:history="1">
        <w:r>
          <w:rPr>
            <w:rStyle w:val="char1"/>
            <w:rFonts w:ascii="Calibri" w:hAnsi="Calibri" w:cs="Calibri"/>
            <w:kern w:val="1"/>
            <w:sz w:val="22"/>
            <w:szCs w:val="22"/>
            <w:lang w:eastAsia="en-us"/>
          </w:rPr>
          <w:t>16 percent</w:t>
        </w:r>
      </w:hyperlink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of teens reported having to choose between buying </w:t>
        <w:tab/>
        <w:tab/>
        <w:tab/>
        <w:t>period products and food or clothes.</w:t>
      </w:r>
      <w:r>
        <w:rPr>
          <w:rFonts w:ascii="Calibri" w:hAnsi="Calibri" w:cs="Calibri"/>
          <w:kern w:val="1"/>
          <w:sz w:val="22"/>
          <w:szCs w:val="22"/>
          <w:lang w:eastAsia="en-us"/>
        </w:rPr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Campaigners have long pushed to abolish the “tampon tax” — an additional sales tax added to </w:t>
        <w:tab/>
        <w:tab/>
        <w:tab/>
        <w:t>period products. While removing this tax won’t make menstrual products free, this cost-</w:t>
        <w:tab/>
        <w:tab/>
        <w:tab/>
        <w:t xml:space="preserve">saving could make a difference. 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In NC, 1 in 6 women and girls from the ages of 12 to 44 live on incomes below the Federal </w:t>
        <w:tab/>
        <w:tab/>
        <w:tab/>
        <w:t>poverty line. This equates to almost 400,000 individuals.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Sales taxes on period supplies place an unequal burden on individuals who menstruate. In NC, </w:t>
        <w:tab/>
        <w:tab/>
        <w:tab/>
        <w:t>period supplies are taxed.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One third of low income women report missing work, school, or similar events due to lack of </w:t>
        <w:tab/>
        <w:tab/>
        <w:tab/>
        <w:t>access to period supplies.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- In NC, nearly 60,000 women participate in the WIC program. While this helps provide nutritious </w:t>
        <w:tab/>
        <w:tab/>
        <w:t>food, it does not cover many other basic necessities.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</w:r>
    </w:p>
    <w:p>
      <w:pPr>
        <w:pStyle w:val="para1"/>
        <w:spacing w:before="100" w:after="100" w:beforeAutospacing="1" w:afterAutospacing="1" w:line="240" w:lineRule="auto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What can you do?</w:t>
      </w:r>
    </w:p>
    <w:p>
      <w:pPr>
        <w:pStyle w:val="para1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Write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 to your NC legislators (</w:t>
      </w:r>
      <w:r>
        <w:rPr>
          <w:rFonts w:ascii="Calibri" w:hAnsi="Calibri" w:cs="Calibri"/>
          <w:color w:val="0563c1"/>
          <w:kern w:val="1"/>
          <w:sz w:val="22"/>
          <w:szCs w:val="22"/>
        </w:rPr>
        <w:t>House 117: Jennifer Balkcom</w:t>
      </w:r>
      <w:r>
        <w:rPr>
          <w:rFonts w:ascii="Calibri" w:hAnsi="Calibri" w:cs="Calibri"/>
          <w:kern w:val="1"/>
          <w:sz w:val="22"/>
          <w:szCs w:val="22"/>
          <w:lang w:eastAsia="en-us"/>
        </w:rPr>
        <w:t xml:space="preserve">, House 113: Jake Johnson; Senate Timothy Moffitt). Use the facts above to ask them to 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- exempt period products from NC sales taxes</w:t>
      </w:r>
    </w:p>
    <w:p>
      <w:pPr>
        <w:pStyle w:val="para1"/>
        <w:ind w:firstLine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- provide free period products in all NC public schools</w:t>
      </w:r>
    </w:p>
    <w:p>
      <w:pPr>
        <w:pStyle w:val="para1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Write </w:t>
      </w:r>
      <w:r>
        <w:rPr>
          <w:rFonts w:ascii="Calibri" w:hAnsi="Calibri" w:cs="Calibri"/>
          <w:kern w:val="1"/>
          <w:sz w:val="22"/>
          <w:szCs w:val="22"/>
          <w:lang w:eastAsia="en-us"/>
        </w:rPr>
        <w:t>to NC-11 Rep. Charles Edwards to urge him to:</w:t>
      </w:r>
    </w:p>
    <w:p>
      <w:pPr>
        <w:pStyle w:val="para1"/>
        <w:ind w:left="720"/>
        <w:spacing w:before="100" w:after="100" w:beforeAutospacing="1" w:afterAutospacing="1" w:line="240" w:lineRule="auto"/>
        <w:rPr>
          <w:rFonts w:ascii="Calibri" w:hAnsi="Calibri" w:cs="Calibri"/>
          <w:kern w:val="1"/>
          <w:sz w:val="22"/>
          <w:szCs w:val="22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- include free period products in the next Federal funding authorization for public schools</w:t>
      </w:r>
    </w:p>
    <w:p>
      <w:pPr>
        <w:pStyle w:val="para1"/>
        <w:ind w:left="720"/>
        <w:spacing w:before="100" w:after="100" w:beforeAutospacing="1" w:afterAutospacing="1" w:line="240" w:lineRule="auto"/>
        <w:rPr>
          <w:rFonts w:eastAsia="Cambria"/>
          <w:kern w:val="1"/>
          <w:sz w:val="20"/>
          <w:szCs w:val="20"/>
          <w:lang w:eastAsia="en-us"/>
        </w:rPr>
      </w:pPr>
      <w:r>
        <w:rPr>
          <w:rFonts w:ascii="Calibri" w:hAnsi="Calibri" w:cs="Calibri"/>
          <w:kern w:val="1"/>
          <w:sz w:val="22"/>
          <w:szCs w:val="22"/>
          <w:lang w:eastAsia="en-us"/>
        </w:rPr>
        <w:t>-require menstrual instruction starting at age 10 for any scho</w:t>
      </w:r>
      <w:r>
        <w:rPr>
          <w:rFonts w:eastAsia="Cambria"/>
          <w:kern w:val="1"/>
          <w:sz w:val="20"/>
          <w:szCs w:val="20"/>
          <w:lang w:eastAsia="en-us"/>
        </w:rPr>
        <w:t>ol receiving Federal monies</w:t>
      </w:r>
    </w:p>
    <w:p>
      <w:pPr>
        <w:numPr>
          <w:ilvl w:val="0"/>
          <w:numId w:val="2"/>
        </w:numPr>
        <w:ind w:left="720" w:hanging="360"/>
        <w:spacing w:line="240" w:lineRule="auto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rPr>
          <w:rFonts w:cs="Calibri"/>
          <w:bCs/>
          <w:sz w:val="36"/>
          <w:szCs w:val="36"/>
          <w:u w:color="auto" w:val="single"/>
          <w:lang w:eastAsia="en-us"/>
        </w:rPr>
      </w:pPr>
      <w:r>
        <w:rPr>
          <w:rFonts w:cs="Calibri"/>
          <w:bCs/>
          <w:sz w:val="36"/>
          <w:szCs w:val="36"/>
          <w:u w:color="auto" w:val="single"/>
          <w:lang w:eastAsia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"/>
      <w:tmLastPosIdx w:val="4"/>
    </w:tmLastPosCaret>
    <w:tmLastPosAnchor>
      <w:tmLastPosPgfIdx w:val="0"/>
      <w:tmLastPosIdx w:val="0"/>
    </w:tmLastPosAnchor>
    <w:tmLastPosTblRect w:left="0" w:top="0" w:right="0" w:bottom="0"/>
  </w:tmLastPos>
  <w:tmAppRevision w:date="1721327337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rPr>
      <w:rFonts w:ascii="Times New Roman" w:hAnsi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s://journals.lww.com/greenjournal/Abstract/2020/05001/Period_Poverty_and_the_Menstrual_Product_Tax_in.234.aspx" TargetMode="External"/><Relationship Id="rId10" Type="http://schemas.openxmlformats.org/officeDocument/2006/relationships/hyperlink" Target="https://greatist.com/health/irregular-period-home-remedies" TargetMode="External"/><Relationship Id="rId11" Type="http://schemas.openxmlformats.org/officeDocument/2006/relationships/hyperlink" Target="https://www.statista.com/statistics/1242985/us-period-poverty-teenage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Nancy S Brown</cp:lastModifiedBy>
  <cp:revision>8</cp:revision>
  <dcterms:created xsi:type="dcterms:W3CDTF">2022-01-29T18:23:00Z</dcterms:created>
  <dcterms:modified xsi:type="dcterms:W3CDTF">2024-07-18T18:28:57Z</dcterms:modified>
</cp:coreProperties>
</file>